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EF" w:rsidRPr="009155EF" w:rsidRDefault="009155EF" w:rsidP="009155EF">
      <w:pPr>
        <w:spacing w:before="300" w:after="300" w:line="240" w:lineRule="auto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9155EF">
        <w:rPr>
          <w:rFonts w:ascii="Tahoma" w:eastAsia="Times New Roman" w:hAnsi="Tahoma" w:cs="Tahoma"/>
          <w:sz w:val="29"/>
          <w:szCs w:val="29"/>
          <w:lang w:eastAsia="ru-RU"/>
        </w:rPr>
        <w:t>МИНИСТЕРСТВО ЭКОНОМИЧЕСКОГО РАЗВИТИЯ РОССИЙСКОЙ ФЕДЕРАЦИИ</w:t>
      </w:r>
      <w:r w:rsidRPr="009155EF">
        <w:rPr>
          <w:rFonts w:ascii="Tahoma" w:eastAsia="Times New Roman" w:hAnsi="Tahoma" w:cs="Tahoma"/>
          <w:sz w:val="29"/>
          <w:szCs w:val="29"/>
          <w:lang w:eastAsia="ru-RU"/>
        </w:rPr>
        <w:br/>
        <w:t>N 31047-ЕЕ/Д28и</w:t>
      </w:r>
      <w:r w:rsidRPr="009155EF">
        <w:rPr>
          <w:rFonts w:ascii="Tahoma" w:eastAsia="Times New Roman" w:hAnsi="Tahoma" w:cs="Tahoma"/>
          <w:sz w:val="29"/>
          <w:szCs w:val="29"/>
          <w:lang w:eastAsia="ru-RU"/>
        </w:rPr>
        <w:br/>
      </w:r>
      <w:r w:rsidRPr="009155EF">
        <w:rPr>
          <w:rFonts w:ascii="Tahoma" w:eastAsia="Times New Roman" w:hAnsi="Tahoma" w:cs="Tahoma"/>
          <w:sz w:val="29"/>
          <w:szCs w:val="29"/>
          <w:lang w:eastAsia="ru-RU"/>
        </w:rPr>
        <w:br/>
        <w:t>ФЕДЕРАЛЬНАЯ АНТИМОНОПОЛЬНАЯ СЛУЖБА</w:t>
      </w:r>
      <w:r w:rsidRPr="009155EF">
        <w:rPr>
          <w:rFonts w:ascii="Tahoma" w:eastAsia="Times New Roman" w:hAnsi="Tahoma" w:cs="Tahoma"/>
          <w:sz w:val="29"/>
          <w:szCs w:val="29"/>
          <w:lang w:eastAsia="ru-RU"/>
        </w:rPr>
        <w:br/>
        <w:t>N АЦ/50997/14</w:t>
      </w:r>
      <w:r w:rsidRPr="009155EF">
        <w:rPr>
          <w:rFonts w:ascii="Tahoma" w:eastAsia="Times New Roman" w:hAnsi="Tahoma" w:cs="Tahoma"/>
          <w:sz w:val="29"/>
          <w:szCs w:val="29"/>
          <w:lang w:eastAsia="ru-RU"/>
        </w:rPr>
        <w:br/>
      </w:r>
      <w:r w:rsidRPr="009155EF">
        <w:rPr>
          <w:rFonts w:ascii="Tahoma" w:eastAsia="Times New Roman" w:hAnsi="Tahoma" w:cs="Tahoma"/>
          <w:sz w:val="29"/>
          <w:szCs w:val="29"/>
          <w:lang w:eastAsia="ru-RU"/>
        </w:rPr>
        <w:br/>
        <w:t>ПИСЬМО</w:t>
      </w:r>
      <w:r w:rsidRPr="009155EF">
        <w:rPr>
          <w:rFonts w:ascii="Tahoma" w:eastAsia="Times New Roman" w:hAnsi="Tahoma" w:cs="Tahoma"/>
          <w:sz w:val="29"/>
          <w:szCs w:val="29"/>
          <w:lang w:eastAsia="ru-RU"/>
        </w:rPr>
        <w:br/>
        <w:t>от 11 декабря 2014 года</w:t>
      </w:r>
      <w:bookmarkStart w:id="0" w:name="_GoBack"/>
      <w:bookmarkEnd w:id="0"/>
      <w:proofErr w:type="gramStart"/>
      <w:r w:rsidRPr="009155EF">
        <w:rPr>
          <w:rFonts w:ascii="Tahoma" w:eastAsia="Times New Roman" w:hAnsi="Tahoma" w:cs="Tahoma"/>
          <w:sz w:val="29"/>
          <w:szCs w:val="29"/>
          <w:lang w:eastAsia="ru-RU"/>
        </w:rPr>
        <w:br/>
      </w:r>
      <w:r w:rsidRPr="009155EF">
        <w:rPr>
          <w:rFonts w:ascii="Tahoma" w:eastAsia="Times New Roman" w:hAnsi="Tahoma" w:cs="Tahoma"/>
          <w:sz w:val="29"/>
          <w:szCs w:val="29"/>
          <w:lang w:eastAsia="ru-RU"/>
        </w:rPr>
        <w:br/>
      </w:r>
      <w:r w:rsidRPr="009155EF">
        <w:rPr>
          <w:rFonts w:ascii="Tahoma" w:eastAsia="Times New Roman" w:hAnsi="Tahoma" w:cs="Tahoma"/>
          <w:sz w:val="20"/>
          <w:szCs w:val="20"/>
          <w:lang w:eastAsia="ru-RU"/>
        </w:rPr>
        <w:t>О</w:t>
      </w:r>
      <w:proofErr w:type="gramEnd"/>
      <w:r w:rsidRPr="009155EF">
        <w:rPr>
          <w:rFonts w:ascii="Tahoma" w:eastAsia="Times New Roman" w:hAnsi="Tahoma" w:cs="Tahoma"/>
          <w:sz w:val="20"/>
          <w:szCs w:val="20"/>
          <w:lang w:eastAsia="ru-RU"/>
        </w:rPr>
        <w:t xml:space="preserve"> ПОЗИЦИИ</w:t>
      </w:r>
      <w:r w:rsidRPr="009155EF">
        <w:rPr>
          <w:rFonts w:ascii="Tahoma" w:eastAsia="Times New Roman" w:hAnsi="Tahoma" w:cs="Tahoma"/>
          <w:sz w:val="20"/>
          <w:szCs w:val="20"/>
          <w:lang w:eastAsia="ru-RU"/>
        </w:rPr>
        <w:br/>
        <w:t>МИНЭКОНОМРАЗВИТИЯ РОССИИ И ФАС РОССИИ</w:t>
      </w:r>
      <w:r w:rsidRPr="009155EF">
        <w:rPr>
          <w:rFonts w:ascii="Tahoma" w:eastAsia="Times New Roman" w:hAnsi="Tahoma" w:cs="Tahoma"/>
          <w:sz w:val="20"/>
          <w:szCs w:val="20"/>
          <w:lang w:eastAsia="ru-RU"/>
        </w:rPr>
        <w:br/>
        <w:t>ПО ВОПРОСУ ПРИМЕНЕНИЯ НОРМ ФЕДЕРАЛЬНОГО ЗАКОНА ОТ 5 АПРЕЛЯ</w:t>
      </w:r>
      <w:r w:rsidRPr="009155EF">
        <w:rPr>
          <w:rFonts w:ascii="Tahoma" w:eastAsia="Times New Roman" w:hAnsi="Tahoma" w:cs="Tahoma"/>
          <w:sz w:val="20"/>
          <w:szCs w:val="20"/>
          <w:lang w:eastAsia="ru-RU"/>
        </w:rPr>
        <w:br/>
        <w:t>2013 Г. N 44-ФЗ "О КОНТРАКТНОЙ СИСТЕМЕ В СФЕРЕ ЗАКУПОК</w:t>
      </w:r>
      <w:r w:rsidRPr="009155EF">
        <w:rPr>
          <w:rFonts w:ascii="Tahoma" w:eastAsia="Times New Roman" w:hAnsi="Tahoma" w:cs="Tahoma"/>
          <w:sz w:val="20"/>
          <w:szCs w:val="20"/>
          <w:lang w:eastAsia="ru-RU"/>
        </w:rPr>
        <w:br/>
        <w:t>ТОВАРОВ, РАБОТ, УСЛУГ ДЛЯ ОБЕСПЕЧЕНИЯ ГОСУДАРСТВЕННЫХ</w:t>
      </w:r>
      <w:r w:rsidRPr="009155EF">
        <w:rPr>
          <w:rFonts w:ascii="Tahoma" w:eastAsia="Times New Roman" w:hAnsi="Tahoma" w:cs="Tahoma"/>
          <w:sz w:val="20"/>
          <w:szCs w:val="20"/>
          <w:lang w:eastAsia="ru-RU"/>
        </w:rPr>
        <w:br/>
        <w:t>И МУНИЦИПАЛЬНЫХ НУЖД" В ОТНОШЕНИИ УСТАНОВЛЕНИЯ ПОРЯДКА</w:t>
      </w:r>
      <w:r w:rsidRPr="009155EF">
        <w:rPr>
          <w:rFonts w:ascii="Tahoma" w:eastAsia="Times New Roman" w:hAnsi="Tahoma" w:cs="Tahoma"/>
          <w:sz w:val="20"/>
          <w:szCs w:val="20"/>
          <w:lang w:eastAsia="ru-RU"/>
        </w:rPr>
        <w:br/>
        <w:t>РАССМОТРЕНИЯ И ОЦЕНКИ ЗАЯВОК, ОКОНЧАТЕЛЬНЫХ ПРЕДЛОЖЕНИЙ</w:t>
      </w:r>
      <w:r w:rsidRPr="009155EF">
        <w:rPr>
          <w:rFonts w:ascii="Tahoma" w:eastAsia="Times New Roman" w:hAnsi="Tahoma" w:cs="Tahoma"/>
          <w:sz w:val="20"/>
          <w:szCs w:val="20"/>
          <w:lang w:eastAsia="ru-RU"/>
        </w:rPr>
        <w:br/>
        <w:t>УЧАСТНИКОВ ЗАКУПКИ ПО НЕСТОИМОСТНЫМ КРИТЕРИЯМ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В связи с поступающими вопросами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отношении установления в конкурсной документации, документации о проведении запроса предложений (далее - документация о закупке) порядка рассмотрения и оценки заявок, окончательных предложений (далее - заявка</w:t>
      </w:r>
      <w:proofErr w:type="gramEnd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) участников закупки по </w:t>
      </w:r>
      <w:proofErr w:type="spell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нестоимостным</w:t>
      </w:r>
      <w:proofErr w:type="spellEnd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 критериям Минэкономразвития России и ФАС России сообщают следующее.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Согласно пункту 9 части 1 статьи 50, пункту 7 части 6 статьи 83 Закона N 44-ФЗ документация о закупке должна содержать критерии оценки заявок на участие в закупке, величины значимости этих критериев, порядок рассмотрения и оценки таких заявок.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В соответствии с частью 8 статьи 32 Закона N 44-ФЗ порядок оценки заявок участников закупки, в том числе предельные величины значимости каждого критерия, устанавливаются постановлением Правительства Российской Федерации от 28 ноября 2013 г. N 1085 "Об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нужд" (далее - Правила).</w:t>
      </w:r>
      <w:proofErr w:type="gramEnd"/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Согласно пункту 4 Правил для оценки заявок заказчик устанавливает в документации о закупке следующие критерии оценки: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а) стоимостные критерии оценки, в том числе цена контракта;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б) </w:t>
      </w:r>
      <w:proofErr w:type="spell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нестоимостные</w:t>
      </w:r>
      <w:proofErr w:type="spellEnd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 критерии оценки: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качественные, функциональные и экологические характеристики объекта закупки;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 (далее - квалификация участников закупки).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В соответствии с положениями пункта 8 Правил для оценки заявок заказчик устанавливает в документации о закупке не менее двух критериев оценки, одним из которых должен быть критерий "цепа контракта".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Следовательно, заказчик для оценки заявок на участие в закупке вправе также установить в конкурсной документации как один из </w:t>
      </w:r>
      <w:proofErr w:type="spell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нестоимостных</w:t>
      </w:r>
      <w:proofErr w:type="spellEnd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 критериев, так и оба </w:t>
      </w:r>
      <w:proofErr w:type="spell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нестоимостных</w:t>
      </w:r>
      <w:proofErr w:type="spellEnd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 критерия, за исключением особенностей оценки заявок на выполнение строительных работ, указанных в пункте 11 Правил.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Пунктом 10 Правил установлено, что в документации о закупке в отношении </w:t>
      </w:r>
      <w:proofErr w:type="spell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нестоимостных</w:t>
      </w:r>
      <w:proofErr w:type="spellEnd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 критериев оценки могут быть предусмотрены показатели, раскрывающие содержание </w:t>
      </w:r>
      <w:proofErr w:type="spell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нестоимостных</w:t>
      </w:r>
      <w:proofErr w:type="spellEnd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 критериев оценки и учитывающие особенности оценки закупаемых товаров, работ, услуг по </w:t>
      </w:r>
      <w:proofErr w:type="spell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нестоимостным</w:t>
      </w:r>
      <w:proofErr w:type="spellEnd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 критериям оценки.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Кроме того, пунктом 11 Правил установлено, что для оценки заявок по каждому критерию оценки используется 100-балльная шкала оценки. </w:t>
      </w:r>
      <w:proofErr w:type="gram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Если в соответствии с пунктом 10 Правил в отношении </w:t>
      </w:r>
      <w:r w:rsidRPr="009155EF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критерия оценки в документации о закупке заказчиком предусматриваются показатели, то для каждого показателя устанавливается его значимость, в соответствии с которой будет производиться оценка, и формула расчета количества баллов, присуждаемых по таким показателям, или шкала предельных величин значимости показателей оценки, устанавливающая интервалы их изменений, или порядок их определения.</w:t>
      </w:r>
      <w:proofErr w:type="gramEnd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 В случае осуществления закупки, по результатам которой заключается контракт, предусматривающий выполнение строительных работ, заказчик обязан установить показатель "опыт участника по успешной поставке товара, выполнению работ, оказанию услуг сопоставимого характера и объема" критерия "квалификация участников закупки", за исключением случая, предусмотренного пунктом 30 Правил. При этом значимость показателя должна составлять не менее 50 процентов значимости всех </w:t>
      </w:r>
      <w:proofErr w:type="spell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нестоимостных</w:t>
      </w:r>
      <w:proofErr w:type="spellEnd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 критериев оценки.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В соответствии с частью 5 статьи 53 Закона N 44-ФЗ 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 Согласно части 7 статьи 53 Закона N 44-ФЗ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Согласно пункту 3 Правил "оценка" - процесс выявления по критериям оценки и в порядке, установленном в документации о закупке, лучших условий исполнения контракта, указанных в заявках участников закупки, которые не были отклонены.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На основании изложенного, в целях выявления лучшего условия исполнения контракта, документация о закупке должна содержать: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предмет оценки, позволяющий определить исчерпывающий перечень сведений, подлежащих оценке конкурсной комиссией и, соответственно, подлежащих представлению участниками закупки в своих заявках для получения оценки по </w:t>
      </w:r>
      <w:proofErr w:type="spell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нестоимостным</w:t>
      </w:r>
      <w:proofErr w:type="spellEnd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 критериям;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зависимость (формула расчета количества баллов или шкала оценки) между количеством присваиваемых баллов и представляемыми сведениями по критерию "качественные, функциональные и экологические характеристики объекта закупки" (показателям критерия) в случае, если возможна количественная оценка представляемых сведений;</w:t>
      </w:r>
      <w:proofErr w:type="gramEnd"/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пропорциональную зависимость (формула расчета количества баллов или шкала оценки) между количеством присваиваемых баллов и представляемыми сведениями по критерию "квалификация участников закупки" (показателям критерия), учитывая, что в отношении сведений, представляемых по указанному критерию возможна количественная оценка;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инструкцию по заполнению заявки, позволяющую определить, какие именно сведения подлежат описанию и представлению участниками закупки для оценки конкурсной комиссией.</w:t>
      </w:r>
    </w:p>
    <w:p w:rsidR="009155EF" w:rsidRPr="009155EF" w:rsidRDefault="009155EF" w:rsidP="009155EF">
      <w:pPr>
        <w:spacing w:after="0" w:line="240" w:lineRule="auto"/>
        <w:ind w:firstLine="390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В случае установления в документации о закупке показателя "опыт участника по успешной поставке товара, выполнению работ, оказанию услуг сопоставимого характера и объема" критерия "квалификация участников закупки" заказчик раскрывает содержание, определяющее сопоставимость имеющегося у участников закупки опыта по поставке товара, выполнению работ, оказанию услуг с предметом осуществляемой закупки, в том числе указывает единицу измерения объема.</w:t>
      </w:r>
      <w:proofErr w:type="gramEnd"/>
    </w:p>
    <w:p w:rsidR="009155EF" w:rsidRPr="009155EF" w:rsidRDefault="009155EF" w:rsidP="009155EF">
      <w:pPr>
        <w:spacing w:after="0" w:line="240" w:lineRule="auto"/>
        <w:ind w:firstLine="390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Заместитель Министра</w:t>
      </w:r>
    </w:p>
    <w:p w:rsidR="009155EF" w:rsidRPr="009155EF" w:rsidRDefault="009155EF" w:rsidP="009155EF">
      <w:pPr>
        <w:spacing w:after="0" w:line="240" w:lineRule="auto"/>
        <w:ind w:firstLine="390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экономического развития</w:t>
      </w:r>
    </w:p>
    <w:p w:rsidR="009155EF" w:rsidRPr="009155EF" w:rsidRDefault="009155EF" w:rsidP="009155EF">
      <w:pPr>
        <w:spacing w:after="0" w:line="240" w:lineRule="auto"/>
        <w:ind w:firstLine="390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Российской Федерации</w:t>
      </w:r>
    </w:p>
    <w:p w:rsidR="009155EF" w:rsidRPr="009155EF" w:rsidRDefault="009155EF" w:rsidP="009155EF">
      <w:pPr>
        <w:spacing w:after="0" w:line="240" w:lineRule="auto"/>
        <w:ind w:firstLine="390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Е.И.ЕЛИН</w:t>
      </w:r>
    </w:p>
    <w:p w:rsidR="009155EF" w:rsidRPr="009155EF" w:rsidRDefault="009155EF" w:rsidP="009155EF">
      <w:pPr>
        <w:spacing w:after="0" w:line="240" w:lineRule="auto"/>
        <w:ind w:firstLine="390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Статс-секретарь Заместитель</w:t>
      </w:r>
    </w:p>
    <w:p w:rsidR="009155EF" w:rsidRPr="009155EF" w:rsidRDefault="009155EF" w:rsidP="009155EF">
      <w:pPr>
        <w:spacing w:after="0" w:line="240" w:lineRule="auto"/>
        <w:ind w:firstLine="390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 xml:space="preserve">руководителя </w:t>
      </w:r>
      <w:proofErr w:type="gram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Федеральной</w:t>
      </w:r>
      <w:proofErr w:type="gramEnd"/>
    </w:p>
    <w:p w:rsidR="009155EF" w:rsidRPr="009155EF" w:rsidRDefault="009155EF" w:rsidP="009155EF">
      <w:pPr>
        <w:spacing w:after="0" w:line="240" w:lineRule="auto"/>
        <w:ind w:firstLine="390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антимонопольной службы</w:t>
      </w:r>
    </w:p>
    <w:p w:rsidR="009155EF" w:rsidRPr="009155EF" w:rsidRDefault="009155EF" w:rsidP="009155EF">
      <w:pPr>
        <w:spacing w:after="0" w:line="240" w:lineRule="auto"/>
        <w:ind w:firstLine="390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А.Ю.ЦАРИКОВСКИЙ</w:t>
      </w:r>
    </w:p>
    <w:p w:rsidR="009155EF" w:rsidRPr="009155EF" w:rsidRDefault="009155EF" w:rsidP="009155EF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9155EF" w:rsidRPr="009155EF" w:rsidRDefault="009155EF" w:rsidP="009155EF">
      <w:pPr>
        <w:spacing w:before="90" w:after="90" w:line="240" w:lineRule="auto"/>
        <w:jc w:val="center"/>
        <w:rPr>
          <w:rFonts w:ascii="Tahoma" w:eastAsia="Times New Roman" w:hAnsi="Tahoma" w:cs="Tahoma"/>
          <w:b/>
          <w:bCs/>
          <w:vanish/>
          <w:color w:val="000000"/>
          <w:sz w:val="21"/>
          <w:szCs w:val="21"/>
          <w:lang w:eastAsia="ru-RU"/>
        </w:rPr>
      </w:pPr>
      <w:r w:rsidRPr="009155EF">
        <w:rPr>
          <w:rFonts w:ascii="Tahoma" w:eastAsia="Times New Roman" w:hAnsi="Tahoma" w:cs="Tahoma"/>
          <w:b/>
          <w:bCs/>
          <w:vanish/>
          <w:color w:val="000000"/>
          <w:sz w:val="21"/>
          <w:szCs w:val="21"/>
          <w:lang w:eastAsia="ru-RU"/>
        </w:rPr>
        <w:t>Справка о документе</w:t>
      </w:r>
    </w:p>
    <w:p w:rsidR="009155EF" w:rsidRPr="009155EF" w:rsidRDefault="009155EF" w:rsidP="009155EF">
      <w:pPr>
        <w:spacing w:before="90" w:after="90" w:line="240" w:lineRule="auto"/>
        <w:rPr>
          <w:rFonts w:ascii="Tahoma" w:eastAsia="Times New Roman" w:hAnsi="Tahoma" w:cs="Tahoma"/>
          <w:b/>
          <w:bCs/>
          <w:vanish/>
          <w:sz w:val="24"/>
          <w:szCs w:val="24"/>
          <w:lang w:eastAsia="ru-RU"/>
        </w:rPr>
      </w:pPr>
      <w:r w:rsidRPr="009155EF">
        <w:rPr>
          <w:rFonts w:ascii="Tahoma" w:eastAsia="Times New Roman" w:hAnsi="Tahoma" w:cs="Tahoma"/>
          <w:b/>
          <w:bCs/>
          <w:vanish/>
          <w:sz w:val="24"/>
          <w:szCs w:val="24"/>
          <w:lang w:eastAsia="ru-RU"/>
        </w:rPr>
        <w:t>Источник публикации</w:t>
      </w:r>
    </w:p>
    <w:p w:rsidR="009155EF" w:rsidRPr="009155EF" w:rsidRDefault="009155EF" w:rsidP="009155EF">
      <w:pPr>
        <w:spacing w:after="0" w:line="240" w:lineRule="auto"/>
        <w:ind w:firstLine="390"/>
        <w:rPr>
          <w:rFonts w:ascii="Tahoma" w:eastAsia="Times New Roman" w:hAnsi="Tahoma" w:cs="Tahoma"/>
          <w:vanish/>
          <w:sz w:val="24"/>
          <w:szCs w:val="24"/>
          <w:lang w:eastAsia="ru-RU"/>
        </w:rPr>
      </w:pPr>
      <w:r w:rsidRPr="009155EF">
        <w:rPr>
          <w:rFonts w:ascii="Tahoma" w:eastAsia="Times New Roman" w:hAnsi="Tahoma" w:cs="Tahoma"/>
          <w:vanish/>
          <w:sz w:val="24"/>
          <w:szCs w:val="24"/>
          <w:lang w:eastAsia="ru-RU"/>
        </w:rPr>
        <w:t>Документ опубликован не был</w:t>
      </w:r>
    </w:p>
    <w:p w:rsidR="009155EF" w:rsidRPr="009155EF" w:rsidRDefault="009155EF" w:rsidP="009155EF">
      <w:pPr>
        <w:spacing w:before="90" w:after="90" w:line="240" w:lineRule="auto"/>
        <w:rPr>
          <w:rFonts w:ascii="Tahoma" w:eastAsia="Times New Roman" w:hAnsi="Tahoma" w:cs="Tahoma"/>
          <w:vanish/>
          <w:sz w:val="24"/>
          <w:szCs w:val="24"/>
          <w:lang w:eastAsia="ru-RU"/>
        </w:rPr>
      </w:pPr>
      <w:r w:rsidRPr="009155EF">
        <w:rPr>
          <w:rFonts w:ascii="Tahoma" w:eastAsia="Times New Roman" w:hAnsi="Tahoma" w:cs="Tahoma"/>
          <w:vanish/>
          <w:sz w:val="24"/>
          <w:szCs w:val="24"/>
          <w:lang w:eastAsia="ru-RU"/>
        </w:rPr>
        <w:pict>
          <v:rect id="_x0000_i1026" style="width:0;height:.75pt" o:hralign="center" o:hrstd="t" o:hrnoshade="t" o:hr="t" fillcolor="#999" stroked="f"/>
        </w:pict>
      </w:r>
    </w:p>
    <w:p w:rsidR="009155EF" w:rsidRPr="009155EF" w:rsidRDefault="009155EF" w:rsidP="009155EF">
      <w:pPr>
        <w:spacing w:before="90" w:after="90" w:line="240" w:lineRule="auto"/>
        <w:rPr>
          <w:rFonts w:ascii="Tahoma" w:eastAsia="Times New Roman" w:hAnsi="Tahoma" w:cs="Tahoma"/>
          <w:b/>
          <w:bCs/>
          <w:vanish/>
          <w:sz w:val="24"/>
          <w:szCs w:val="24"/>
          <w:lang w:eastAsia="ru-RU"/>
        </w:rPr>
      </w:pPr>
      <w:r w:rsidRPr="009155EF">
        <w:rPr>
          <w:rFonts w:ascii="Tahoma" w:eastAsia="Times New Roman" w:hAnsi="Tahoma" w:cs="Tahoma"/>
          <w:b/>
          <w:bCs/>
          <w:vanish/>
          <w:sz w:val="24"/>
          <w:szCs w:val="24"/>
          <w:lang w:eastAsia="ru-RU"/>
        </w:rPr>
        <w:t>Примечание к документу</w:t>
      </w:r>
    </w:p>
    <w:p w:rsidR="009155EF" w:rsidRPr="009155EF" w:rsidRDefault="009155EF" w:rsidP="009155EF">
      <w:pPr>
        <w:spacing w:after="0" w:line="240" w:lineRule="auto"/>
        <w:ind w:firstLine="390"/>
        <w:rPr>
          <w:rFonts w:ascii="Tahoma" w:eastAsia="Times New Roman" w:hAnsi="Tahoma" w:cs="Tahoma"/>
          <w:vanish/>
          <w:sz w:val="24"/>
          <w:szCs w:val="24"/>
          <w:lang w:eastAsia="ru-RU"/>
        </w:rPr>
      </w:pPr>
      <w:r w:rsidRPr="009155EF">
        <w:rPr>
          <w:rFonts w:ascii="Tahoma" w:eastAsia="Times New Roman" w:hAnsi="Tahoma" w:cs="Tahoma"/>
          <w:vanish/>
          <w:sz w:val="24"/>
          <w:szCs w:val="24"/>
          <w:lang w:eastAsia="ru-RU"/>
        </w:rPr>
        <w:t>КонсультантПлюс: примечание.</w:t>
      </w:r>
    </w:p>
    <w:p w:rsidR="009155EF" w:rsidRPr="009155EF" w:rsidRDefault="009155EF" w:rsidP="009155EF">
      <w:pPr>
        <w:spacing w:after="0" w:line="240" w:lineRule="auto"/>
        <w:ind w:firstLine="390"/>
        <w:rPr>
          <w:rFonts w:ascii="Tahoma" w:eastAsia="Times New Roman" w:hAnsi="Tahoma" w:cs="Tahoma"/>
          <w:vanish/>
          <w:sz w:val="24"/>
          <w:szCs w:val="24"/>
          <w:lang w:eastAsia="ru-RU"/>
        </w:rPr>
      </w:pPr>
      <w:r w:rsidRPr="009155EF">
        <w:rPr>
          <w:rFonts w:ascii="Tahoma" w:eastAsia="Times New Roman" w:hAnsi="Tahoma" w:cs="Tahoma"/>
          <w:vanish/>
          <w:sz w:val="24"/>
          <w:szCs w:val="24"/>
          <w:lang w:eastAsia="ru-RU"/>
        </w:rPr>
        <w:t>Текст документа приведен в соответствии с публикацией на сайте http://zakupki.gov.ru по состоянию на 15.12.2014.</w:t>
      </w:r>
    </w:p>
    <w:p w:rsidR="009155EF" w:rsidRPr="009155EF" w:rsidRDefault="009155EF" w:rsidP="009155EF">
      <w:pPr>
        <w:spacing w:before="90" w:after="90" w:line="240" w:lineRule="auto"/>
        <w:rPr>
          <w:rFonts w:ascii="Tahoma" w:eastAsia="Times New Roman" w:hAnsi="Tahoma" w:cs="Tahoma"/>
          <w:vanish/>
          <w:sz w:val="24"/>
          <w:szCs w:val="24"/>
          <w:lang w:eastAsia="ru-RU"/>
        </w:rPr>
      </w:pPr>
      <w:r w:rsidRPr="009155EF">
        <w:rPr>
          <w:rFonts w:ascii="Tahoma" w:eastAsia="Times New Roman" w:hAnsi="Tahoma" w:cs="Tahoma"/>
          <w:vanish/>
          <w:sz w:val="24"/>
          <w:szCs w:val="24"/>
          <w:lang w:eastAsia="ru-RU"/>
        </w:rPr>
        <w:pict>
          <v:rect id="_x0000_i1027" style="width:0;height:.75pt" o:hralign="center" o:hrstd="t" o:hrnoshade="t" o:hr="t" fillcolor="#999" stroked="f"/>
        </w:pict>
      </w:r>
    </w:p>
    <w:p w:rsidR="009155EF" w:rsidRPr="009155EF" w:rsidRDefault="009155EF" w:rsidP="009155EF">
      <w:pPr>
        <w:spacing w:before="90" w:after="90" w:line="240" w:lineRule="auto"/>
        <w:rPr>
          <w:rFonts w:ascii="Tahoma" w:eastAsia="Times New Roman" w:hAnsi="Tahoma" w:cs="Tahoma"/>
          <w:b/>
          <w:bCs/>
          <w:vanish/>
          <w:sz w:val="24"/>
          <w:szCs w:val="24"/>
          <w:lang w:eastAsia="ru-RU"/>
        </w:rPr>
      </w:pPr>
      <w:r w:rsidRPr="009155EF">
        <w:rPr>
          <w:rFonts w:ascii="Tahoma" w:eastAsia="Times New Roman" w:hAnsi="Tahoma" w:cs="Tahoma"/>
          <w:b/>
          <w:bCs/>
          <w:vanish/>
          <w:sz w:val="24"/>
          <w:szCs w:val="24"/>
          <w:lang w:eastAsia="ru-RU"/>
        </w:rPr>
        <w:t>Название документа</w:t>
      </w:r>
    </w:p>
    <w:p w:rsidR="009155EF" w:rsidRPr="009155EF" w:rsidRDefault="009155EF" w:rsidP="009155EF">
      <w:pPr>
        <w:spacing w:before="90" w:after="90" w:line="240" w:lineRule="auto"/>
        <w:rPr>
          <w:rFonts w:ascii="Tahoma" w:eastAsia="Times New Roman" w:hAnsi="Tahoma" w:cs="Tahoma"/>
          <w:vanish/>
          <w:sz w:val="24"/>
          <w:szCs w:val="24"/>
          <w:lang w:eastAsia="ru-RU"/>
        </w:rPr>
      </w:pPr>
      <w:r w:rsidRPr="009155EF">
        <w:rPr>
          <w:rFonts w:ascii="Tahoma" w:eastAsia="Times New Roman" w:hAnsi="Tahoma" w:cs="Tahoma"/>
          <w:vanish/>
          <w:sz w:val="24"/>
          <w:szCs w:val="24"/>
          <w:lang w:eastAsia="ru-RU"/>
        </w:rPr>
        <w:t>&lt;Письмо&gt; Минэкономразвития России N 31047-ЕЕ/Д28и, ФАС России N АЦ/50997/14 от 11.12.2014 "О позиции Минэкономразвития России и ФАС России по вопросу применения норм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в отношении установления порядка рассмотрения и оценки заявок, окончательных предложений участников закупки по нестоимостным критериям"</w:t>
      </w:r>
    </w:p>
    <w:p w:rsidR="009155EF" w:rsidRPr="009155EF" w:rsidRDefault="009155EF" w:rsidP="009155EF">
      <w:pPr>
        <w:spacing w:before="90" w:after="9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 w:rsidRPr="009155EF">
        <w:rPr>
          <w:rFonts w:ascii="Tahoma" w:eastAsia="Times New Roman" w:hAnsi="Tahoma" w:cs="Tahoma"/>
          <w:vanish/>
          <w:sz w:val="18"/>
          <w:szCs w:val="18"/>
          <w:lang w:eastAsia="ru-RU"/>
        </w:rPr>
        <w:t>В коммерческой версии системы КонсультантПлюс - дополнительная информация к документу (разъяснения, комментарии, судебная практика и пр.):</w:t>
      </w:r>
    </w:p>
    <w:p w:rsidR="009155EF" w:rsidRPr="009155EF" w:rsidRDefault="009155EF" w:rsidP="009155EF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 w:rsidRPr="009155EF">
        <w:rPr>
          <w:rFonts w:ascii="Tahoma" w:eastAsia="Times New Roman" w:hAnsi="Tahoma" w:cs="Tahoma"/>
          <w:vanish/>
          <w:sz w:val="18"/>
          <w:szCs w:val="18"/>
          <w:lang w:eastAsia="ru-RU"/>
        </w:rPr>
        <w:t>- к статье</w:t>
      </w:r>
    </w:p>
    <w:p w:rsidR="009155EF" w:rsidRPr="009155EF" w:rsidRDefault="009155EF" w:rsidP="009155EF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 w:rsidRPr="009155EF">
        <w:rPr>
          <w:rFonts w:ascii="Tahoma" w:eastAsia="Times New Roman" w:hAnsi="Tahoma" w:cs="Tahoma"/>
          <w:vanish/>
          <w:sz w:val="18"/>
          <w:szCs w:val="18"/>
          <w:lang w:eastAsia="ru-RU"/>
        </w:rPr>
        <w:t>- ко всему документу.</w:t>
      </w:r>
    </w:p>
    <w:p w:rsidR="009155EF" w:rsidRPr="009155EF" w:rsidRDefault="009155EF" w:rsidP="009155EF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ru-RU"/>
        </w:rPr>
      </w:pPr>
      <w:r w:rsidRPr="009155EF">
        <w:rPr>
          <w:rFonts w:ascii="Tahoma" w:eastAsia="Times New Roman" w:hAnsi="Tahoma" w:cs="Tahoma"/>
          <w:vanish/>
          <w:sz w:val="18"/>
          <w:szCs w:val="18"/>
          <w:lang w:eastAsia="ru-RU"/>
        </w:rPr>
        <w:t>На сайте возможность недоступна.</w:t>
      </w:r>
    </w:p>
    <w:p w:rsidR="009155EF" w:rsidRPr="009155EF" w:rsidRDefault="009155EF" w:rsidP="009155E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55E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155EF" w:rsidRPr="009155EF" w:rsidRDefault="009155EF" w:rsidP="009155EF">
      <w:pPr>
        <w:spacing w:after="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9155EF">
        <w:rPr>
          <w:rFonts w:ascii="Tahoma" w:eastAsia="Times New Roman" w:hAnsi="Tahoma" w:cs="Tahoma"/>
          <w:sz w:val="19"/>
          <w:szCs w:val="19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  <w:r w:rsidRPr="009155EF">
        <w:rPr>
          <w:rFonts w:ascii="Tahoma" w:eastAsia="Times New Roman" w:hAnsi="Tahoma" w:cs="Tahoma"/>
          <w:sz w:val="19"/>
          <w:szCs w:val="19"/>
          <w:lang w:eastAsia="ru-RU"/>
        </w:rPr>
        <w:object w:dxaOrig="1440" w:dyaOrig="1440">
          <v:shape id="_x0000_i1037" type="#_x0000_t75" style="width:1in;height:18pt" o:ole="">
            <v:imagedata r:id="rId5" o:title=""/>
          </v:shape>
          <w:control r:id="rId7" w:name="DefaultOcxName1" w:shapeid="_x0000_i1037"/>
        </w:object>
      </w:r>
    </w:p>
    <w:p w:rsidR="009155EF" w:rsidRPr="009155EF" w:rsidRDefault="009155EF" w:rsidP="009155E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55E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55EF" w:rsidRPr="009155EF" w:rsidRDefault="009155EF" w:rsidP="009155EF">
      <w:pPr>
        <w:spacing w:after="18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</w:p>
    <w:p w:rsidR="00887FFE" w:rsidRDefault="009155EF" w:rsidP="009155EF">
      <w:r w:rsidRPr="009155EF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9155EF">
        <w:rPr>
          <w:rFonts w:ascii="Tahoma" w:eastAsia="Times New Roman" w:hAnsi="Tahoma" w:cs="Tahoma"/>
          <w:sz w:val="19"/>
          <w:szCs w:val="19"/>
          <w:lang w:eastAsia="ru-RU"/>
        </w:rPr>
        <w:br/>
      </w:r>
      <w:hyperlink r:id="rId8" w:history="1">
        <w:r w:rsidRPr="009155EF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http://www.consultant.ru/document/cons_doc_LAW_123519/</w:t>
        </w:r>
      </w:hyperlink>
      <w:r w:rsidRPr="009155EF">
        <w:rPr>
          <w:rFonts w:ascii="Tahoma" w:eastAsia="Times New Roman" w:hAnsi="Tahoma" w:cs="Tahoma"/>
          <w:sz w:val="19"/>
          <w:szCs w:val="19"/>
          <w:lang w:eastAsia="ru-RU"/>
        </w:rPr>
        <w:br/>
        <w:t xml:space="preserve">© </w:t>
      </w:r>
      <w:proofErr w:type="spellStart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КонсультантПлюс</w:t>
      </w:r>
      <w:proofErr w:type="spellEnd"/>
      <w:r w:rsidRPr="009155EF">
        <w:rPr>
          <w:rFonts w:ascii="Tahoma" w:eastAsia="Times New Roman" w:hAnsi="Tahoma" w:cs="Tahoma"/>
          <w:sz w:val="19"/>
          <w:szCs w:val="19"/>
          <w:lang w:eastAsia="ru-RU"/>
        </w:rPr>
        <w:t>, 1992-2014</w:t>
      </w:r>
    </w:p>
    <w:sectPr w:rsidR="0088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31"/>
    <w:rsid w:val="00887FFE"/>
    <w:rsid w:val="009155EF"/>
    <w:rsid w:val="00E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919573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9641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610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4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7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23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3519/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2</cp:revision>
  <dcterms:created xsi:type="dcterms:W3CDTF">2014-12-19T05:49:00Z</dcterms:created>
  <dcterms:modified xsi:type="dcterms:W3CDTF">2014-12-19T05:49:00Z</dcterms:modified>
</cp:coreProperties>
</file>